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Чешская некоммерческая организация NESEHNUTÍ (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http://initiativeway.org/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в партнерстве с армянскими организациями Центром общинной мобилизации и содействия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https://www.armccms.org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) и  Гражданским молодежным центром (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cyc.org.am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приглашают вас принять участие в программе поддержки развития гражданского общества в Армении и предлагает возможность получить поддержку для ваших гражданских кампаний и инициатив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на период с апреля 2025 по апрель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2026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ind w:hanging="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Доноры программы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Министерство иностранных дел Чешской Республики</w:t>
      </w:r>
    </w:p>
    <w:p w:rsidR="00000000" w:rsidDel="00000000" w:rsidP="00000000" w:rsidRDefault="00000000" w:rsidRPr="00000000" w14:paraId="00000007">
      <w:pPr>
        <w:spacing w:after="120" w:line="240" w:lineRule="auto"/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Участие могут принять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br w:type="textWrapping"/>
        <w:t xml:space="preserve">Некоммерческие организации, гражданские инициативы и активисты, независимые СМИ. При оценке заявки приоритет будет отдаваться предложениям от организаций или инициативных групп, которые находятся и реализуют свою деятельность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в регионах Армении.</w:t>
      </w:r>
    </w:p>
    <w:p w:rsidR="00000000" w:rsidDel="00000000" w:rsidP="00000000" w:rsidRDefault="00000000" w:rsidRPr="00000000" w14:paraId="00000008">
      <w:pPr>
        <w:spacing w:after="12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Поддержка не предоставляетс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я коммерческим структурам и п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олитическим партиям или с ними связанным организациям, даже если такая связь является неформальной (молодежные, экспертные организации и т.д.), а также о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рганизациям, которые сами являются фондами для поддержки проектов.</w:t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Приоритетные тематические области и формы деятельности в рамках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Защита окружающей среды, климата, природы;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Защита прав человека (включая гражданские и социальные права, права меньшинств и малообеспеченных слоев населения).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Участие общественности в принятии решений, свободный доступ к информации;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Равные возможности для мужчин и женщин в обществе, противодействие домашнему насилию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и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дискриминации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240" w:lineRule="auto"/>
        <w:ind w:hanging="2"/>
        <w:jc w:val="both"/>
        <w:rPr>
          <w:rFonts w:ascii="Calibri" w:cs="Calibri" w:eastAsia="Calibri" w:hAnsi="Calibri"/>
          <w:b w:val="1"/>
          <w:color w:val="000000"/>
          <w:sz w:val="26"/>
          <w:szCs w:val="26"/>
          <w:u w:val="single"/>
        </w:rPr>
      </w:pPr>
      <w:bookmarkStart w:colFirst="0" w:colLast="0" w:name="_fvoksp7l3jwx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Приоритеты поддержки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При отборе заявок на поддержку гражданских кампаний мы будем учитывать следующие приоритеты: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Актуальность и значимость проблемы: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Кампания направлена на решение важной общественной проблемы. Вопрос, который поднимает инициатива, имеет широкое общественное значение.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Вовлечение сообщества: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Кампания предусматривает активное участие граждан и местных сообществ.</w:t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Долгосрочные изменения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Кампания имеет потенциал для конкретных и устойчивых изменений, а не разового эффекта.</w:t>
      </w:r>
    </w:p>
    <w:p w:rsidR="00000000" w:rsidDel="00000000" w:rsidP="00000000" w:rsidRDefault="00000000" w:rsidRPr="00000000" w14:paraId="00000014">
      <w:pPr>
        <w:spacing w:line="240" w:lineRule="auto"/>
        <w:ind w:hanging="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Гражданская кампания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— это организованное общественное действие, направленное на решение общественной проблемы, защиту прав или продвижение позитивных изменений. Кампании могут включать в себя  адвокационные действия, мобилизацию граждан, диалог с органами власти или бизнесом. Важным признаком гражданской кампании является её направленность на общественное благо, вовлечение людей в активные действия и долгосрочный результат.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ind w:hanging="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Какие заявки нам не подходят?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Одноразовые мероприятия (тренинги, круглые столы и т.д.), субботники и сбор мусора, лекции или печать информационных материалов (брошюры, футболки, сумки), которые не ставят перед собой цель достичь конкретных системных изменений.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hanging="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Какая предоставляется поддержка?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Выбранные группы и инициативы примут участие в совместном двухдневном процессе планирования проекта с профессиональными тренерами, с помощью которых смогут развить свои идеи в конкретные планы, а потом реализовать их с апреля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2025 г. по апрель 2026 г.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Эта сессия планирования будет проводиться на английском или русском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Финансовая поддержка вашей идеи проекта в среднем размере до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2500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евро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Текущие консультации с экспертами, в том числе и из-за рубежа, онлайн и оффлайн, обеспечение специализированных консультаций с экспертами при необходимости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Представители инициативных групп получат возможность принять участие: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Школа гражданской ангажированности (2025)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Ознакомительная поездка в Чехию (2025 г.)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Баркемп в Армении (2026)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hanging="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40" w:lineRule="auto"/>
        <w:ind w:left="1" w:hanging="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Основные даты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 марта 2025 года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последний срок приема Ваших анкет-заявок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(предложения, поступившие после этого срока, мы не будем рассматривать).</w:t>
      </w:r>
    </w:p>
    <w:p w:rsidR="00000000" w:rsidDel="00000000" w:rsidP="00000000" w:rsidRDefault="00000000" w:rsidRPr="00000000" w14:paraId="0000002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 марта 2025 года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все кандидаты получат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информацию об итогах конкурса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 с выбранными кандидатами договоримся о дате встречи для собеседования (онлайн).</w:t>
      </w:r>
    </w:p>
    <w:p w:rsidR="00000000" w:rsidDel="00000000" w:rsidP="00000000" w:rsidRDefault="00000000" w:rsidRPr="00000000" w14:paraId="0000002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10-12 марта 2025 года 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онлайн встречи с предвыбранными кандидатами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(встреча не является гарантией, что вас окончательно выбрали и включили в программу поддержки).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конец марта-начало апреля 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рабочая встреча, где выбранные к поддержке инициативы будут составлять подробные планы гражданских проектов с помощью фасилитатора. Участие во встрече - обязательно (идеально все участники группы, кто будет задействован в реализации проекта). Встреча пройдет месте расположения организации или инициативной группы, расходы на питание, проживание и транспорт участников будут покрыты NESEHNUTI. Данная встреча пройдет на русском или английском языке (по выбору организации).</w:t>
      </w:r>
    </w:p>
    <w:p w:rsidR="00000000" w:rsidDel="00000000" w:rsidP="00000000" w:rsidRDefault="00000000" w:rsidRPr="00000000" w14:paraId="0000002D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апрель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апрель 2026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фактическая реализация проектов, предоставление экспертной поддержки по необходимости.</w:t>
      </w:r>
    </w:p>
    <w:p w:rsidR="00000000" w:rsidDel="00000000" w:rsidP="00000000" w:rsidRDefault="00000000" w:rsidRPr="00000000" w14:paraId="0000002F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Сентябрь - октябрь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– мониторинговая встреча,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на которой мы вместе оценим ваши промежуточные результаты кампании и на основе этого сделаем актуализацию действий кампании.</w:t>
      </w:r>
    </w:p>
    <w:p w:rsidR="00000000" w:rsidDel="00000000" w:rsidP="00000000" w:rsidRDefault="00000000" w:rsidRPr="00000000" w14:paraId="00000031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Пожалуйста, присылайте Ваши заявки (бланк ниже) до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марта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2025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года на русском или английском языке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alena.marchkova@nesehnuti.cz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&amp;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jaromir.nemec@nesehnuti.cz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 более подробной информацией обращайтесь: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juliette.amiraghian.ccms@gmail.com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hanging="2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br w:type="textWrapping"/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Проект “Партисипативный путь к изменениям в регионах Армении”, целью которого является  поддержка гражданских инициатив и активных граждан в их стремлении вовлекать местных жителей и совместно способствовать поиску решений актуальных проблем, а также защита демократических ценностей и прав человека, реализуется при поддержке Министерства иностранных дел Чешской республики в рамках программы „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Т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рансформационного сотрудничества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“. </w:t>
      </w:r>
    </w:p>
    <w:p w:rsidR="00000000" w:rsidDel="00000000" w:rsidP="00000000" w:rsidRDefault="00000000" w:rsidRPr="00000000" w14:paraId="00000036">
      <w:pPr>
        <w:pStyle w:val="Subtitle"/>
        <w:spacing w:after="200" w:before="360" w:line="240" w:lineRule="auto"/>
        <w:ind w:left="2" w:hanging="4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gjdgxs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Subtitle"/>
        <w:spacing w:after="200" w:before="360" w:line="240" w:lineRule="auto"/>
        <w:ind w:left="2" w:hanging="4"/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bookmarkStart w:colFirst="0" w:colLast="0" w:name="_xjae8lifcq2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Subtitle"/>
        <w:spacing w:after="200" w:before="360" w:line="240" w:lineRule="auto"/>
        <w:ind w:left="2" w:hanging="4"/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bookmarkStart w:colFirst="0" w:colLast="0" w:name="_30j0zll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Заявка на участие в программе Путь инициативы</w:t>
      </w:r>
    </w:p>
    <w:p w:rsidR="00000000" w:rsidDel="00000000" w:rsidP="00000000" w:rsidRDefault="00000000" w:rsidRPr="00000000" w14:paraId="00000039">
      <w:pPr>
        <w:spacing w:line="24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Пожалуйста, заполните следующую анкету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кратко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и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четко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Текст заявки не должен превышать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2-х страниц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А4,  заполнить заявку можно на русском или английском языке.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Название кампании/ проекта: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Название организации/неформального объединения: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Контактное лицо (ответственное лицо за проект, который Вы предлагаете к рассмотрению):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Контактные данные: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Адрес: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Электронный адрес: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Номер телефона: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Сайт или группа в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Facebook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Twitter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и т.д.: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Предыдущие грантодатели и реализованные кампании и проекты: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На решение каких проблем/проблемы будет направлена ваша кампания/проект?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Укажите, пожалуйста,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конкретные и измеримые цели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которые вы планируете достичь: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Как изменится общественная ситуация и какое конкретное изменение принесет достижение вашей цели? Каким способом вам удастся элиминировать или решить проблему, которую вы описываете в пункте 6 этого заявления?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Какие общественные группы вы планируете привлечь?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Какой тип действий вы планируете проводить, на какой результат рассчитываете после их проведения?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Кому принесет пользу успех вашей кампании/проекта и почему?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Сколько людей из вашей инициативной группы будет активно принимать участие в проекте?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Откуда вы узнали о нашем конкурсе? (конкретный сайт или соц. сеть)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tabs>
        <w:tab w:val="center" w:leader="none" w:pos="4536"/>
        <w:tab w:val="right" w:leader="none" w:pos="9072"/>
      </w:tabs>
      <w:spacing w:line="240" w:lineRule="auto"/>
      <w:ind w:hanging="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5753100</wp:posOffset>
          </wp:positionH>
          <wp:positionV relativeFrom="paragraph">
            <wp:posOffset>-95249</wp:posOffset>
          </wp:positionV>
          <wp:extent cx="608806" cy="561975"/>
          <wp:effectExtent b="0" l="0" r="0" t="0"/>
          <wp:wrapNone/>
          <wp:docPr descr="C:\Users\Petr\Dropbox\PetrM\Nese\PR_aktual\hlavickove papiry, loga, razitka NESE\Logo NESEHNUTÍ.JPG" id="5" name="image4.jpg"/>
          <a:graphic>
            <a:graphicData uri="http://schemas.openxmlformats.org/drawingml/2006/picture">
              <pic:pic>
                <pic:nvPicPr>
                  <pic:cNvPr descr="C:\Users\Petr\Dropbox\PetrM\Nese\PR_aktual\hlavickove papiry, loga, razitka NESE\Logo NESEHNUTÍ.JP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8806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-23812</wp:posOffset>
          </wp:positionV>
          <wp:extent cx="1762125" cy="565417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5654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4224338</wp:posOffset>
          </wp:positionH>
          <wp:positionV relativeFrom="paragraph">
            <wp:posOffset>-28574</wp:posOffset>
          </wp:positionV>
          <wp:extent cx="1366838" cy="5695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838" cy="5695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2000250</wp:posOffset>
          </wp:positionH>
          <wp:positionV relativeFrom="paragraph">
            <wp:posOffset>33338</wp:posOffset>
          </wp:positionV>
          <wp:extent cx="2078935" cy="571500"/>
          <wp:effectExtent b="0" l="0" r="0" t="0"/>
          <wp:wrapNone/>
          <wp:docPr descr="C:\Users\NESE\Desktop\UKRAJINA_notas\logo_transition.gif" id="1" name="image2.png"/>
          <a:graphic>
            <a:graphicData uri="http://schemas.openxmlformats.org/drawingml/2006/picture">
              <pic:pic>
                <pic:nvPicPr>
                  <pic:cNvPr descr="C:\Users\NESE\Desktop\UKRAJINA_notas\logo_transition.gif"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8935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-333374</wp:posOffset>
          </wp:positionV>
          <wp:extent cx="670100" cy="945413"/>
          <wp:effectExtent b="0" l="0" r="0" t="0"/>
          <wp:wrapNone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0100" cy="9454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tabs>
        <w:tab w:val="center" w:leader="none" w:pos="4536"/>
        <w:tab w:val="right" w:leader="none" w:pos="9072"/>
      </w:tabs>
      <w:spacing w:line="240" w:lineRule="auto"/>
      <w:ind w:hanging="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ab/>
    </w:r>
  </w:p>
  <w:p w:rsidR="00000000" w:rsidDel="00000000" w:rsidP="00000000" w:rsidRDefault="00000000" w:rsidRPr="00000000" w14:paraId="0000005A">
    <w:pPr>
      <w:tabs>
        <w:tab w:val="center" w:leader="none" w:pos="4536"/>
        <w:tab w:val="right" w:leader="none" w:pos="9072"/>
      </w:tabs>
      <w:spacing w:line="240" w:lineRule="auto"/>
      <w:ind w:hanging="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ab/>
    </w:r>
  </w:p>
  <w:p w:rsidR="00000000" w:rsidDel="00000000" w:rsidP="00000000" w:rsidRDefault="00000000" w:rsidRPr="00000000" w14:paraId="0000005B">
    <w:pPr>
      <w:tabs>
        <w:tab w:val="center" w:leader="none" w:pos="4536"/>
        <w:tab w:val="right" w:leader="none" w:pos="9072"/>
      </w:tabs>
      <w:spacing w:line="240" w:lineRule="auto"/>
      <w:ind w:hanging="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uliette.amiraghian.ccms@gmail.com" TargetMode="External"/><Relationship Id="rId10" Type="http://schemas.openxmlformats.org/officeDocument/2006/relationships/hyperlink" Target="mailto:jaromir.nemec@nesehnuti.cz" TargetMode="External"/><Relationship Id="rId13" Type="http://schemas.openxmlformats.org/officeDocument/2006/relationships/header" Target="header1.xml"/><Relationship Id="rId12" Type="http://schemas.openxmlformats.org/officeDocument/2006/relationships/hyperlink" Target="mailto:iniciativy@nesehnuti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ena.marchkova@nesehnuti.cz" TargetMode="External"/><Relationship Id="rId5" Type="http://schemas.openxmlformats.org/officeDocument/2006/relationships/styles" Target="styles.xml"/><Relationship Id="rId6" Type="http://schemas.openxmlformats.org/officeDocument/2006/relationships/hyperlink" Target="http://initiativeway.org/" TargetMode="External"/><Relationship Id="rId7" Type="http://schemas.openxmlformats.org/officeDocument/2006/relationships/hyperlink" Target="https://www.armccms.org" TargetMode="External"/><Relationship Id="rId8" Type="http://schemas.openxmlformats.org/officeDocument/2006/relationships/hyperlink" Target="http://cyc.org.a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